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38" w:rsidRDefault="00BE064E" w:rsidP="008257D9">
      <w:pPr>
        <w:spacing w:after="0" w:line="240" w:lineRule="auto"/>
        <w:jc w:val="center"/>
        <w:outlineLvl w:val="0"/>
        <w:rPr>
          <w:rFonts w:ascii="Montserrat-SemiBold" w:eastAsia="Times New Roman" w:hAnsi="Montserrat-SemiBold" w:cs="Times New Roman"/>
          <w:color w:val="040AFC"/>
          <w:kern w:val="36"/>
          <w:sz w:val="42"/>
          <w:szCs w:val="42"/>
          <w:lang w:eastAsia="ru-RU"/>
        </w:rPr>
      </w:pPr>
      <w:r>
        <w:rPr>
          <w:rFonts w:ascii="Montserrat-SemiBold" w:eastAsia="Times New Roman" w:hAnsi="Montserrat-SemiBold" w:cs="Times New Roman"/>
          <w:color w:val="040AFC"/>
          <w:kern w:val="36"/>
          <w:sz w:val="42"/>
          <w:szCs w:val="42"/>
          <w:lang w:eastAsia="ru-RU"/>
        </w:rPr>
        <w:t>Порядок зачисления</w:t>
      </w:r>
    </w:p>
    <w:p w:rsidR="008257D9" w:rsidRPr="008257D9" w:rsidRDefault="008257D9" w:rsidP="008257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40AFC"/>
          <w:kern w:val="36"/>
          <w:sz w:val="24"/>
          <w:szCs w:val="24"/>
          <w:lang w:eastAsia="ru-RU"/>
        </w:rPr>
      </w:pPr>
      <w:r w:rsidRPr="008257D9">
        <w:rPr>
          <w:rFonts w:ascii="Times New Roman" w:eastAsia="Times New Roman" w:hAnsi="Times New Roman" w:cs="Times New Roman"/>
          <w:color w:val="040AFC"/>
          <w:kern w:val="36"/>
          <w:sz w:val="24"/>
          <w:szCs w:val="24"/>
          <w:lang w:eastAsia="ru-RU"/>
        </w:rPr>
        <w:t>(выписка из правил)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11. ФОРМИРОВАНИЕ РАНЖИРОВАННЫХ СПИСКОВ ПОСТУПАЮЩИХ И ЗАЧИСЛЕНИЕ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85. По результатам приема документов и вступительных испытаний (в случае их проведения) Университет формирует отдельный ранжированный список поступающих по каждому конкурсу (далее — конкурсный список). Конкурсные списки публикуются на официальном сайте и на ЕПГУ и обновляются при наличии изменений ежедневно до дня, следующего за днем завершения приема заявлений о согласии на зачисление, включительно не менее 5 раз в день в период с 9 часов до 18 часов по местному времени.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86. Конкурсный список включает в себя: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конкурсный список поступающих на обучение без вступительных испытаний;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конкурсный список поступающих на </w:t>
      </w:r>
      <w:proofErr w:type="gramStart"/>
      <w:r>
        <w:rPr>
          <w:rFonts w:ascii="Montserrat-Regular" w:hAnsi="Montserrat-Regular"/>
          <w:color w:val="212529"/>
        </w:rPr>
        <w:t>обучение по результатам</w:t>
      </w:r>
      <w:proofErr w:type="gramEnd"/>
      <w:r>
        <w:rPr>
          <w:rFonts w:ascii="Montserrat-Regular" w:hAnsi="Montserrat-Regular"/>
          <w:color w:val="212529"/>
        </w:rPr>
        <w:t xml:space="preserve"> ЕГЭ и (или) вступительных испытаний, проводимых Университетом самостоятельно (далее — результаты вступительных испытаний), набравших не менее минимального количества баллов.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Зачисление по результатам вступительных испытаний проводится на места, оставшиеся после зачисления без вступительных испытаний, в рамках соответствующего конкурсного списка.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87. </w:t>
      </w:r>
      <w:proofErr w:type="gramStart"/>
      <w:r>
        <w:rPr>
          <w:rFonts w:ascii="Montserrat-Regular" w:hAnsi="Montserrat-Regular"/>
          <w:color w:val="212529"/>
        </w:rPr>
        <w:t>Конкурсный список поступающих на обучение без вступительных испытаний ранжируется по следующим основаниям:</w:t>
      </w:r>
      <w:proofErr w:type="gramEnd"/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1) по статусу лиц, имеющих право на прием без вступительных испытаний, в следующем порядке: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а) члены сборных команд, участвовавших в международных олимпиадах;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б) победители заключительного этапа всероссийской олимпиады;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в) призеры заключительного этапа всероссийской олимпиады;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г) чемпионы и призеры Олимпийских игр, </w:t>
      </w:r>
      <w:proofErr w:type="spellStart"/>
      <w:r>
        <w:rPr>
          <w:rFonts w:ascii="Montserrat-Regular" w:hAnsi="Montserrat-Regular"/>
          <w:color w:val="212529"/>
        </w:rPr>
        <w:t>Паралимпийских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 и </w:t>
      </w:r>
      <w:proofErr w:type="spellStart"/>
      <w:r>
        <w:rPr>
          <w:rFonts w:ascii="Montserrat-Regular" w:hAnsi="Montserrat-Regular"/>
          <w:color w:val="212529"/>
        </w:rPr>
        <w:t>Сурдлимпийских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rPr>
          <w:rFonts w:ascii="Montserrat-Regular" w:hAnsi="Montserrat-Regular"/>
          <w:color w:val="212529"/>
        </w:rPr>
        <w:t>Паралимпийских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 и </w:t>
      </w:r>
      <w:proofErr w:type="spellStart"/>
      <w:r>
        <w:rPr>
          <w:rFonts w:ascii="Montserrat-Regular" w:hAnsi="Montserrat-Regular"/>
          <w:color w:val="212529"/>
        </w:rPr>
        <w:t>Сурдлимпийских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proofErr w:type="spellStart"/>
      <w:r>
        <w:rPr>
          <w:rFonts w:ascii="Montserrat-Regular" w:hAnsi="Montserrat-Regular"/>
          <w:color w:val="212529"/>
        </w:rPr>
        <w:t>д</w:t>
      </w:r>
      <w:proofErr w:type="spellEnd"/>
      <w:r>
        <w:rPr>
          <w:rFonts w:ascii="Montserrat-Regular" w:hAnsi="Montserrat-Regular"/>
          <w:color w:val="212529"/>
        </w:rPr>
        <w:t>) победители олимпиад школьников;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е) призеры олимпиад школьников;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2) для лиц, указанных в каждом из подпунктов «а» − «е» подпункта 1 настоящего пункта, − по убыванию количества баллов, начисленных за индивидуальные достижения;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3) при равенстве по критериям, указанным в подпунктах 1 и 2 настоящего пункта, по наличию преимущественного права, указанного в части 9 статьи 71 Федерального закона № 273-ФЗ (более высокое место в конкурсном списке занимают поступающие, имеющие преимущественное право);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4) при равенстве по критериям, указанным в подпунктах 1 - 3 настоящего пункта, − по наличию преимущественного права, указанного в части 10 статьи 71 Федерального закона № 273-ФЗ </w:t>
      </w:r>
      <w:r>
        <w:rPr>
          <w:rFonts w:ascii="Montserrat-Regular" w:hAnsi="Montserrat-Regular"/>
          <w:color w:val="212529"/>
        </w:rPr>
        <w:lastRenderedPageBreak/>
        <w:t>(более высокое место в конкурсном списке занимают поступающие, имеющие преимущественное право);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5) при равенстве по критериям, указанным в подпунктах 1 - 4 настоящего пункта, − по индивидуальным достижениям, учитываемым при равенстве поступающих по иным критериям ранжирования.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88. Конкурсный список поступающих по результатам вступительных испытаний ранжируется по следующим основаниям: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1) по убыванию суммы конкурсных баллов, исчисленной как сумма баллов за каждое вступительное испытание и за индивидуальные достижения;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2) при равенстве суммы конкурсных баллов − по убыванию суммы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Университетом;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3) при равенстве по критериям, указанным в подпунктах 1 и 2 настоящего пункта, — по наличию преимущественного права, указанного в части 9 статьи 71 Федерального закона № 273-ФЗ (более высокое место в конкурсном списке занимают поступающие, имеющие преимущественное право);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4) при равенстве по критериям, указанным в подпунктах 1 - 3 настоящего пункта, — по наличию преимущественного права, указанного в части 10 статьи 71 Федерального закона № 273-ФЗ (более высокое место в конкурсном списке занимают поступающие, имеющие преимущественное право);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5) при равенстве по критериям, указанным в подпунктах 1 - 4 настоящего пункта, — по индивидуальным достижениям, учитываемым при равенстве поступающих по иным критериям ранжирования.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87. В конкурсном списке указываются следующие сведения: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1) страховой номер индивидуального лицевого счета или уникальный код, присвоенный </w:t>
      </w:r>
      <w:proofErr w:type="gramStart"/>
      <w:r>
        <w:rPr>
          <w:rFonts w:ascii="Montserrat-Regular" w:hAnsi="Montserrat-Regular"/>
          <w:color w:val="212529"/>
        </w:rPr>
        <w:t>поступающему</w:t>
      </w:r>
      <w:proofErr w:type="gramEnd"/>
      <w:r>
        <w:rPr>
          <w:rFonts w:ascii="Montserrat-Regular" w:hAnsi="Montserrat-Regular"/>
          <w:color w:val="212529"/>
        </w:rPr>
        <w:t xml:space="preserve"> (при отсутствии указанного индивидуального лицевого счета);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2) по каждому поступающему без вступительных испытаний: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основание приема без вступительных испытаний;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количество баллов за индивидуальные достижения;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наличие преимущественных прав зачисления;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3) по каждому поступающему по результатам вступительных испытаний: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сумма конкурсных баллов (за вступительные испытания и индивидуальные достижения);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сумма баллов за вступительные испытания;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количество баллов за каждое вступительное испытание;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количество баллов за индивидуальные достижения;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lastRenderedPageBreak/>
        <w:t>наличие преимущественных прав зачисления;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4) наличие заявления о согласии на зачисление.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В конкурсном списке фамилия, имя, отчество (при наличии) </w:t>
      </w:r>
      <w:proofErr w:type="gramStart"/>
      <w:r>
        <w:rPr>
          <w:rFonts w:ascii="Montserrat-Regular" w:hAnsi="Montserrat-Regular"/>
          <w:color w:val="212529"/>
        </w:rPr>
        <w:t>поступающих</w:t>
      </w:r>
      <w:proofErr w:type="gramEnd"/>
      <w:r>
        <w:rPr>
          <w:rFonts w:ascii="Montserrat-Regular" w:hAnsi="Montserrat-Regular"/>
          <w:color w:val="212529"/>
        </w:rPr>
        <w:t xml:space="preserve"> не указываются.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89. Зачисление проводится в соответствии с конкурсным списком до заполнения установленного количества мест.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90. Зачислению подлежат поступающие, которые в период со дня подачи заявления о приеме до дня завершения приема заявлений о согласии на зачисление подали заявление о согласии на зачисление (Приложение № 17), при условии, что они: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при приеме на обучение в рамках контрольных цифр − представили оригинал документа установленного образца;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при приеме на обучение по договорам об оказании платных образовательных услуг − представили документ установленного образца (оригинал документа, или его заверенную копию, или его копию с предъявлением оригинала) либо в случае подачи заявления о приеме посредством ЕПГУ информация о документе установленного образца подтверждена сведениями, содержащимися в федеральной информационной системе "Федеральный реестр сведений о </w:t>
      </w:r>
      <w:proofErr w:type="gramStart"/>
      <w:r>
        <w:rPr>
          <w:rFonts w:ascii="Montserrat-Regular" w:hAnsi="Montserrat-Regular"/>
          <w:color w:val="212529"/>
        </w:rPr>
        <w:t>документах</w:t>
      </w:r>
      <w:proofErr w:type="gramEnd"/>
      <w:r>
        <w:rPr>
          <w:rFonts w:ascii="Montserrat-Regular" w:hAnsi="Montserrat-Regular"/>
          <w:color w:val="212529"/>
        </w:rPr>
        <w:t xml:space="preserve"> об образовании и (или) о квалификации, документах об обучении.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В заявлении о согласии на зачисление указываются условия поступления по конкретному конкурсу, в </w:t>
      </w:r>
      <w:proofErr w:type="gramStart"/>
      <w:r>
        <w:rPr>
          <w:rFonts w:ascii="Montserrat-Regular" w:hAnsi="Montserrat-Regular"/>
          <w:color w:val="212529"/>
        </w:rPr>
        <w:t>соответствии</w:t>
      </w:r>
      <w:proofErr w:type="gramEnd"/>
      <w:r>
        <w:rPr>
          <w:rFonts w:ascii="Montserrat-Regular" w:hAnsi="Montserrat-Regular"/>
          <w:color w:val="212529"/>
        </w:rPr>
        <w:t xml:space="preserve"> с результатами которого поступающий хочет быть зачисленным.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Поступающий</w:t>
      </w:r>
      <w:proofErr w:type="gramEnd"/>
      <w:r>
        <w:rPr>
          <w:rFonts w:ascii="Montserrat-Regular" w:hAnsi="Montserrat-Regular"/>
          <w:color w:val="212529"/>
        </w:rPr>
        <w:t xml:space="preserve"> может подать заявления о согласии на зачисление в конкретную организацию по различным условиям поступления.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Университет осуществляет прием заявлений о согласии на зачисление и документов установленного образца ежедневно до 18 часов по местному времени до дня завершения приема заявлений о согласии на зачисление включительно.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91. При приеме на места в рамках контрольных цифр зачисление осуществляется </w:t>
      </w:r>
      <w:proofErr w:type="gramStart"/>
      <w:r>
        <w:rPr>
          <w:rFonts w:ascii="Montserrat-Regular" w:hAnsi="Montserrat-Regular"/>
          <w:color w:val="212529"/>
        </w:rPr>
        <w:t>при условии наличия в Университете оригинала документа установленного образца по состоянию на день издания приказа о зачислении</w:t>
      </w:r>
      <w:proofErr w:type="gramEnd"/>
      <w:r>
        <w:rPr>
          <w:rFonts w:ascii="Montserrat-Regular" w:hAnsi="Montserrat-Regular"/>
          <w:color w:val="212529"/>
        </w:rPr>
        <w:t>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92. Зачисление оформляется приказом (приказами) Университета о зачислении.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93. При приеме на обучение в рамках контрольных цифр по очной и заочной форме обучения: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1) 27 июля осуществляется публикация конкурсных списков; 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2) зачисление проводится в 2 этапа: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28-30 июля проводится этап приоритетного зачисления, на котором осуществляется зачисление лиц, поступающих без вступительных испытаний, поступающих на места в пределах квот: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3-9 августа проводится основной этап зачисления, на котором осуществляется зачисление лиц, поступающих по результатам вступительных испытаний на основные места в рамках контрольных цифр, оставшиеся после зачисления без вступительных испытаний (далее − основные конкурсные места);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3) на каждом этапе зачисления устанавливается день завершения приема заявлений о согласии на зачисление от лиц, подлежащих зачислению на этом этапе: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lastRenderedPageBreak/>
        <w:t>на этапе приоритетного зачисления − 28 июля;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на основном этапе зачисления − 3 августа;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4) издание приказа (приказов) о зачислении осуществляется: 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на этапе приоритетного зачисления − 30 июля;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на основном этапе зачисления − 9 августа;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5) после завершения этапа приоритетного зачисления лица, зачисленные на обучение в пределах особой квоты, исключаются из конкурсных списков на основные конкурсные места по условиям поступления, указанным в подпунктах 1-3 пункта 5 Правил, по которым они зачислены на обучение в пределах особой квоты;</w:t>
      </w:r>
      <w:proofErr w:type="gramEnd"/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6) места, которые освободились в связи с тем, что лица, зачисленные на обучение на этапе приоритетного зачисления, исключены из числа зачисленных, добавляются к основным конкурсным местам;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7) поступающий может подать заявление о согласии на зачисление не более 10 раз; 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8) в случае если подача заявления о согласии на зачисление в рамках контрольных цифр по очной форме обучения осуществляется при наличии ранее поданного заявления о согласии на зачисление в Университет в рамках контрольных цифр по очной форме обучения, поступающий до подачи заявления о согласии на зачисление подает заявление (Приложение № 18) об отказе от зачисления в соответствии с ранее поданным заявлением</w:t>
      </w:r>
      <w:proofErr w:type="gramEnd"/>
      <w:r>
        <w:rPr>
          <w:rFonts w:ascii="Montserrat-Regular" w:hAnsi="Montserrat-Regular"/>
          <w:color w:val="212529"/>
        </w:rPr>
        <w:t xml:space="preserve"> о согласии на зачисление. Заявление об отказе от зачисления является основанием для </w:t>
      </w:r>
      <w:proofErr w:type="gramStart"/>
      <w:r>
        <w:rPr>
          <w:rFonts w:ascii="Montserrat-Regular" w:hAnsi="Montserrat-Regular"/>
          <w:color w:val="212529"/>
        </w:rPr>
        <w:t>исключения</w:t>
      </w:r>
      <w:proofErr w:type="gramEnd"/>
      <w:r>
        <w:rPr>
          <w:rFonts w:ascii="Montserrat-Regular" w:hAnsi="Montserrat-Regular"/>
          <w:color w:val="212529"/>
        </w:rPr>
        <w:t xml:space="preserve"> поступающего из числа зачисленных на обучение.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94. </w:t>
      </w:r>
      <w:proofErr w:type="gramStart"/>
      <w:r>
        <w:rPr>
          <w:rFonts w:ascii="Montserrat-Regular" w:hAnsi="Montserrat-Regular"/>
          <w:color w:val="212529"/>
        </w:rPr>
        <w:t>При приеме на обучение по договорам об оказании платных образовательных услуг издание приказов о зачислении</w:t>
      </w:r>
      <w:proofErr w:type="gramEnd"/>
      <w:r>
        <w:rPr>
          <w:rFonts w:ascii="Montserrat-Regular" w:hAnsi="Montserrat-Regular"/>
          <w:color w:val="212529"/>
        </w:rPr>
        <w:t xml:space="preserve"> осуществляется: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по очной форме – до 31 августа;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по </w:t>
      </w:r>
      <w:proofErr w:type="spellStart"/>
      <w:r>
        <w:rPr>
          <w:rFonts w:ascii="Montserrat-Regular" w:hAnsi="Montserrat-Regular"/>
          <w:color w:val="212529"/>
        </w:rPr>
        <w:t>очно-заочной</w:t>
      </w:r>
      <w:proofErr w:type="spellEnd"/>
      <w:r>
        <w:rPr>
          <w:rFonts w:ascii="Montserrat-Regular" w:hAnsi="Montserrat-Regular"/>
          <w:color w:val="212529"/>
        </w:rPr>
        <w:t xml:space="preserve"> форме – до 25 октября;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по заочной форме – до 1 декабря.</w:t>
      </w:r>
    </w:p>
    <w:p w:rsidR="00BE064E" w:rsidRDefault="00BE064E" w:rsidP="00BE064E">
      <w:pPr>
        <w:pStyle w:val="a3"/>
        <w:spacing w:before="0" w:after="0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Зачислению на места по договорам об оказании платных образовательных услуг в соответствии с конкурсным списком до заполнения установленного количества мест подлежат поступающие, подавшие заявление о согласии на зачисление, заключившие с Университетом договор не позднее сроков, указанных в п. 7 настоящих Правил, и оплатившие не менее 50 % стоимости обучения за один год.</w:t>
      </w:r>
      <w:proofErr w:type="gramEnd"/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95. При приеме на </w:t>
      </w:r>
      <w:proofErr w:type="gramStart"/>
      <w:r>
        <w:rPr>
          <w:rFonts w:ascii="Montserrat-Regular" w:hAnsi="Montserrat-Regular"/>
          <w:color w:val="212529"/>
        </w:rPr>
        <w:t>обучение по программам</w:t>
      </w:r>
      <w:proofErr w:type="gramEnd"/>
      <w:r>
        <w:rPr>
          <w:rFonts w:ascii="Montserrat-Regular" w:hAnsi="Montserrat-Regular"/>
          <w:color w:val="212529"/>
        </w:rPr>
        <w:t xml:space="preserve"> </w:t>
      </w:r>
      <w:proofErr w:type="spellStart"/>
      <w:r>
        <w:rPr>
          <w:rFonts w:ascii="Montserrat-Regular" w:hAnsi="Montserrat-Regular"/>
          <w:color w:val="212529"/>
        </w:rPr>
        <w:t>бакалавриата</w:t>
      </w:r>
      <w:proofErr w:type="spellEnd"/>
      <w:r>
        <w:rPr>
          <w:rFonts w:ascii="Montserrat-Regular" w:hAnsi="Montserrat-Regular"/>
          <w:color w:val="212529"/>
        </w:rPr>
        <w:t xml:space="preserve"> и программам </w:t>
      </w:r>
      <w:proofErr w:type="spellStart"/>
      <w:r>
        <w:rPr>
          <w:rFonts w:ascii="Montserrat-Regular" w:hAnsi="Montserrat-Regular"/>
          <w:color w:val="212529"/>
        </w:rPr>
        <w:t>специалитета</w:t>
      </w:r>
      <w:proofErr w:type="spellEnd"/>
      <w:r>
        <w:rPr>
          <w:rFonts w:ascii="Montserrat-Regular" w:hAnsi="Montserrat-Regular"/>
          <w:color w:val="212529"/>
        </w:rPr>
        <w:t xml:space="preserve"> незаполненные места особой квоты, выделенной в рамках целевой квоты в соответствии с подпунктом «б» подпункта 5 пункта 5 Правил, используются как места особой квоты или целевой квоты.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96. Незаполненные места в пределах квот используются для зачисления лиц, поступающих на основные места в рамках контрольных цифр без вступительных испытаний и по результатам вступительных испытаний.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lastRenderedPageBreak/>
        <w:t>97. В случае если после завершения зачисления имеются незаполненные места, Университет может на основании конкурсных списков провести дополнительное зачисление на указанные места.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98. При зачислении на </w:t>
      </w:r>
      <w:proofErr w:type="gramStart"/>
      <w:r>
        <w:rPr>
          <w:rFonts w:ascii="Montserrat-Regular" w:hAnsi="Montserrat-Regular"/>
          <w:color w:val="212529"/>
        </w:rPr>
        <w:t>обучение по договорам</w:t>
      </w:r>
      <w:proofErr w:type="gramEnd"/>
      <w:r>
        <w:rPr>
          <w:rFonts w:ascii="Montserrat-Regular" w:hAnsi="Montserrat-Regular"/>
          <w:color w:val="212529"/>
        </w:rPr>
        <w:t xml:space="preserve"> об оказании платных образовательных услуг установленное количество мест может быть превышено по решению Университета. </w:t>
      </w:r>
      <w:proofErr w:type="gramStart"/>
      <w:r>
        <w:rPr>
          <w:rFonts w:ascii="Montserrat-Regular" w:hAnsi="Montserrat-Regular"/>
          <w:color w:val="212529"/>
        </w:rPr>
        <w:t>При принятии указанного решения Университет зачисляет на обучение всех поступающих, набравших не менее минимального количества баллов, либо устанавливает сумму конкурсных баллов, необходимую для зачисления (далее установленная сумма конкурсных баллов), и зачисляет на обучение поступающих, набравших не менее минимального количества баллов и имеющих сумму конкурсных баллов (сумму баллов за каждое вступительное испытание и за индивидуальные достижения) не менее установленной суммы конкурсных</w:t>
      </w:r>
      <w:proofErr w:type="gramEnd"/>
      <w:r>
        <w:rPr>
          <w:rFonts w:ascii="Montserrat-Regular" w:hAnsi="Montserrat-Regular"/>
          <w:color w:val="212529"/>
        </w:rPr>
        <w:t xml:space="preserve"> баллов.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99. Информирование о зачислении осуществляется в порядке, установленном Университетом. </w:t>
      </w:r>
      <w:proofErr w:type="gramStart"/>
      <w:r>
        <w:rPr>
          <w:rFonts w:ascii="Montserrat-Regular" w:hAnsi="Montserrat-Regular"/>
          <w:color w:val="212529"/>
        </w:rPr>
        <w:t>Сведения о зачислении на обучение без указания фамилии, имени, отчества (при наличии) поступающих с указанием страхового номера индивидуального лицевого счета (при наличии) или уникального кода, присвоенного поступающему (при отсутствии указанного индивидуального лицевого счета), суммы конкурсных баллов, количества баллов за вступительные испытания и за индивидуальные достижения размещаются на официальном сайте в день издания соответствующих приказов о зачислении и доступны пользователям официального</w:t>
      </w:r>
      <w:proofErr w:type="gramEnd"/>
      <w:r>
        <w:rPr>
          <w:rFonts w:ascii="Montserrat-Regular" w:hAnsi="Montserrat-Regular"/>
          <w:color w:val="212529"/>
        </w:rPr>
        <w:t xml:space="preserve"> сайта в течение 6 месяцев со дня их издания.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100. Университет вправе в установленном законодательством порядке выделять места для приема поступающих за счет средств Университета.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Зачисление на места за счет средств Университета осуществляется на конкурсной основе на основании ранжированного списка: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– из числа лиц, поступающих на платные места и заключивших соответствующее дополнительное соглашение с Университетом;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– только при наличии поданного согласия на зачисление;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– только от лиц, подавших документы в сроки, установленные для приема документов в рамках контрольных цифр приема пунктом 7 Правил;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– в сроки, установленные Университетом самостоятельно.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101. Университет вправе отказать в зачислении на места за счет средств Университета даже при наличии заключенного соглашения в случае заполнения и/или отсутствии данных мест.</w:t>
      </w:r>
    </w:p>
    <w:p w:rsidR="00BE064E" w:rsidRDefault="00BE064E" w:rsidP="00BE064E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102. </w:t>
      </w:r>
      <w:proofErr w:type="gramStart"/>
      <w:r>
        <w:rPr>
          <w:rFonts w:ascii="Montserrat-Regular" w:hAnsi="Montserrat-Regular"/>
          <w:color w:val="212529"/>
        </w:rPr>
        <w:t>Лица, зачисленные на места за счет средств Университета обязаны</w:t>
      </w:r>
      <w:proofErr w:type="gramEnd"/>
      <w:r>
        <w:rPr>
          <w:rFonts w:ascii="Montserrat-Regular" w:hAnsi="Montserrat-Regular"/>
          <w:color w:val="212529"/>
        </w:rPr>
        <w:t xml:space="preserve"> выплачивать налоги, установленные действующим законодательством Российской Федерации.</w:t>
      </w:r>
    </w:p>
    <w:p w:rsidR="005E4AD5" w:rsidRDefault="005E4AD5" w:rsidP="00BE064E">
      <w:pPr>
        <w:pStyle w:val="a3"/>
        <w:spacing w:after="0" w:afterAutospacing="0"/>
      </w:pPr>
    </w:p>
    <w:sectPr w:rsidR="005E4AD5" w:rsidSect="00C50C99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923"/>
    <w:multiLevelType w:val="multilevel"/>
    <w:tmpl w:val="7912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D3F19"/>
    <w:multiLevelType w:val="multilevel"/>
    <w:tmpl w:val="D568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E6895"/>
    <w:multiLevelType w:val="multilevel"/>
    <w:tmpl w:val="D22C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C3CB0"/>
    <w:multiLevelType w:val="multilevel"/>
    <w:tmpl w:val="E07E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A08DC"/>
    <w:multiLevelType w:val="multilevel"/>
    <w:tmpl w:val="072A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807"/>
    <w:rsid w:val="000014ED"/>
    <w:rsid w:val="00026238"/>
    <w:rsid w:val="00074BBB"/>
    <w:rsid w:val="00106A3C"/>
    <w:rsid w:val="0019770D"/>
    <w:rsid w:val="00273807"/>
    <w:rsid w:val="0042619F"/>
    <w:rsid w:val="00476693"/>
    <w:rsid w:val="0048192D"/>
    <w:rsid w:val="005076CB"/>
    <w:rsid w:val="005625DF"/>
    <w:rsid w:val="00572525"/>
    <w:rsid w:val="005E4AD5"/>
    <w:rsid w:val="006067A0"/>
    <w:rsid w:val="007F41F3"/>
    <w:rsid w:val="00816E25"/>
    <w:rsid w:val="008257D9"/>
    <w:rsid w:val="00A21CA3"/>
    <w:rsid w:val="00BE064E"/>
    <w:rsid w:val="00C50C99"/>
    <w:rsid w:val="00CF5898"/>
    <w:rsid w:val="00D27FD5"/>
    <w:rsid w:val="00D96FB8"/>
    <w:rsid w:val="00DB34C8"/>
    <w:rsid w:val="00E53174"/>
    <w:rsid w:val="00E7031B"/>
    <w:rsid w:val="00E9583E"/>
    <w:rsid w:val="00F6069B"/>
    <w:rsid w:val="00FC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74"/>
  </w:style>
  <w:style w:type="paragraph" w:styleId="1">
    <w:name w:val="heading 1"/>
    <w:basedOn w:val="a"/>
    <w:link w:val="10"/>
    <w:uiPriority w:val="9"/>
    <w:qFormat/>
    <w:rsid w:val="00026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6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6A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A3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5E4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0C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6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62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2020-06-25T09:04:00Z</cp:lastPrinted>
  <dcterms:created xsi:type="dcterms:W3CDTF">2022-04-04T12:40:00Z</dcterms:created>
  <dcterms:modified xsi:type="dcterms:W3CDTF">2022-04-04T12:40:00Z</dcterms:modified>
</cp:coreProperties>
</file>